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137f UrhG — Übergangsregelung bei Umsetzung der Richtlinie 93/98/EWG</w:t>
      </w:r>
    </w:p>
    <w:p>
      <w:r>
        <w:rPr>
          <w:color w:val="555555"/>
          <w:sz w:val="18"/>
        </w:rPr>
        <w:t xml:space="preserve">Urheberrechtsgesetz</w:t>
      </w:r>
    </w:p>
    <w:p>
      <w:r>
        <w:rPr>
          <w:color w:val="555555"/>
          <w:sz w:val="18"/>
        </w:rPr>
        <w:t xml:space="preserve">Stand: 10.06.2019 (konsolidierte Textfassung, kein amtliches Inkrafttretensdatum)</w:t>
      </w:r>
    </w:p>
    <w:p>
      <w:r>
        <w:t xml:space="preserve">(1) Würde durch die Anwendung dieses Gesetzes in der ab dem 1. Juli 1995 geltenden Fassung die Dauer eines vorher entstandenen Rechts verkürzt, so erlischt der Schutz mit dem Ablauf der Schutzdauer nach den bis zum 30. Juni 1995 geltenden Vorschriften. Im übrigen sind die Vorschriften dieses Gesetzes über die Schutzdauer in der ab dem 1. Juli 1995 geltenden Fassung auch auf Werke und verwandte Schutzrechte anzuwenden, deren Schutz am 1. Juli 1995 noch nicht erloschen ist.</w:t>
      </w:r>
    </w:p>
    <w:p>
      <w:r>
        <w:t xml:space="preserve">(2) Die Vorschriften dieses Gesetzes in der ab dem 1. Juli 1995 geltenden Fassung sind auch auf Werke anzuwenden, deren Schutz nach diesem Gesetz vor dem 1. Juli 1995 abgelaufen ist, nach dem Gesetz eines anderen Mitgliedstaates der Europäischen Union oder eines Vertragsstaates des Abkommens über den Europäischen Wirtschaftsraum zu diesem Zeitpunkt aber noch besteht. Satz 1 gilt entsprechend für die verwandten Schutzrechte des Herausgebers nachgelassener Werke (§ 71), der ausübenden Künstler (§ 73), der Hersteller von Tonträgern (§ 85), der Sendeunternehmen (§ 87) und der Filmhersteller (§§ 94 und 95).</w:t>
      </w:r>
    </w:p>
    <w:p>
      <w:r>
        <w:t xml:space="preserve">(3) Lebt nach Absatz 2 der Schutz eines Werkes im Geltungsbereich dieses Gesetzes wieder auf, so stehen die wiederauflebenden Rechte dem Urheber zu. Eine vor dem 1. Juli 1995 begonnene Nutzungshandlung darf jedoch in dem vorgesehenen Rahmen fortgesetzt werden. Für die Nutzung ab dem 1. Juli 1995 ist eine angemessene Vergütung zu zahlen. Die Sätze 1 bis 3 gelten für verwandte Schutzrechte entsprechend.</w:t>
      </w:r>
    </w:p>
    <w:p>
      <w:r>
        <w:t xml:space="preserve">(4) Ist vor dem 1. Juli 1995 einem anderen ein Nutzungsrecht an einer nach diesem Gesetz noch geschützten Leistung eingeräumt oder übertragen worden, so erstreckt sich die Einräumung oder Übertragung im Zweifel auch auf den Zeitraum, um den die Schutzdauer verlängert worden ist. Im Fall des Satzes 1 ist eine angemessene Vergütung zu zahlen.</w:t>
      </w:r>
    </w:p>
    <w:p>
      <w:r>
        <w:rPr>
          <w:color w:val="555555"/>
          <w:sz w:val="17"/>
        </w:rPr>
        <w:t xml:space="preserve">Zitiervorschlag: § 137f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https://recht.nulegal.eu/gesetze/UrhG/137f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