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136 UrhG — Vervielfältigung und Verbreitung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War eine Vervielfältigung, die nach diesem Gesetz unzulässig ist, bisher erlaubt, so darf die vor Inkrafttreten dieses Gesetzes begonnene Herstellung von Vervielfältigungsstücken vollendet werden.</w:t>
      </w:r>
    </w:p>
    <w:p>
      <w:r>
        <w:t xml:space="preserve">(2) Die nach Absatz 1 oder bereits vor dem Inkrafttreten dieses Gesetzes hergestellten Vervielfältigungsstücke dürfen verbreitet werden.</w:t>
      </w:r>
    </w:p>
    <w:p>
      <w:r>
        <w:t xml:space="preserve">(3) Ist für eine Vervielfältigung, die nach den bisherigen Vorschriften frei zulässig war, nach diesem Gesetz eine angemessene Vergütung an den Berechtigten zu zahlen, so dürfen die in Absatz 2 bezeichneten Vervielfältigungsstücke ohne Zahlung einer Vergütung verbreitet werden.</w:t>
      </w:r>
    </w:p>
    <w:p>
      <w:r>
        <w:rPr>
          <w:color w:val="555555"/>
          <w:sz w:val="17"/>
        </w:rPr>
        <w:t xml:space="preserve">Zitiervorschlag: § 136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