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135a UrhG — Berechnung der Schutzfrist</w:t>
      </w:r>
    </w:p>
    <w:p>
      <w:r>
        <w:rPr>
          <w:color w:val="555555"/>
          <w:sz w:val="18"/>
        </w:rPr>
        <w:t xml:space="preserve">Urheberrechtsgesetz</w:t>
      </w:r>
    </w:p>
    <w:p>
      <w:r>
        <w:rPr>
          <w:color w:val="555555"/>
          <w:sz w:val="18"/>
        </w:rPr>
        <w:t xml:space="preserve">Stand: 10.06.2019 (konsolidierte Textfassung, kein amtliches Inkrafttretensdatum)</w:t>
      </w:r>
    </w:p>
    <w:p>
      <w:r>
        <w:t xml:space="preserve">Wird durch die Anwendung dieses Gesetzes auf ein vor seinem Inkrafttreten entstandenes Recht die Dauer des Schutzes verkürzt und liegt das für den Beginn der Schutzfrist nach diesem Gesetz maßgebende Ereignis vor dem Inkrafttreten dieses Gesetzes, so wird die Frist erst vom Inkrafttreten dieses Gesetzes an berechnet. Der Schutz erlischt jedoch spätestens mit Ablauf der Schutzdauer nach den bisherigen Vorschriften.</w:t>
      </w:r>
    </w:p>
    <w:p>
      <w:r>
        <w:rPr>
          <w:color w:val="555555"/>
          <w:sz w:val="17"/>
        </w:rPr>
        <w:t xml:space="preserve">Zitiervorschlag: § 135a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https://recht.nulegal.eu/gesetze/UrhG/135a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