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131 UrhG — Vertonte Sprachwerke</w:t>
      </w:r>
    </w:p>
    <w:p>
      <w:r>
        <w:rPr>
          <w:color w:val="555555"/>
          <w:sz w:val="18"/>
        </w:rPr>
        <w:t xml:space="preserve">Urheberrechtsgesetz</w:t>
      </w:r>
    </w:p>
    <w:p>
      <w:r>
        <w:rPr>
          <w:color w:val="555555"/>
          <w:sz w:val="18"/>
        </w:rPr>
        <w:t xml:space="preserve">Stand: 10.06.2019 (konsolidierte Textfassung, kein amtliches Inkrafttretensdatum)</w:t>
      </w:r>
    </w:p>
    <w:p>
      <w:r>
        <w:t xml:space="preserve">Vertonte Sprachwerke, die nach § 20 des Gesetzes betreffend das Urheberrecht an Werken der Literatur und der Tonkunst vom 19. Juni 1901 (Reichsgesetzbl. S. 227) in der Fassung des Gesetzes zur Ausführung der revidierten Berner Übereinkunft zum Schutze von Werken der Literatur und Kunst vom 22. Mai 1910 (Reichsgesetzbl. S. 793) ohne Zustimmung ihres Urhebers vervielfältigt, verbreitet und öffentlich wiedergegeben werden durften, dürfen auch weiterhin in gleichem Umfang vervielfältigt, verbreitet und öffentlich wiedergegeben werden, wenn die Vertonung des Werkes vor dem Inkrafttreten dieses Gesetzes erschienen ist.</w:t>
      </w:r>
    </w:p>
    <w:p>
      <w:r>
        <w:rPr>
          <w:color w:val="555555"/>
          <w:sz w:val="17"/>
        </w:rPr>
        <w:t xml:space="preserve">Zitiervorschlag: § 131 UrhG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https://recht.nulegal.eu/gesetze/UrhG/131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