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UrhG —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Vorschriften dieses Gesetzes sind auch auf die vor seinem Inkrafttreten geschaffenen Werke anzuwenden, es sei denn, daß sie zu diesem Zeitpunkt urheberrechtlich nicht geschützt sind oder daß in diesem Gesetz sonst etwas anderes bestimmt ist. Dies gilt für verwandte Schutzrechte entsprechend.</w:t>
      </w:r>
    </w:p>
    <w:p>
      <w:r>
        <w:t xml:space="preserve">(2) Die Dauer des Urheberrechts an einem Werk, das nach Ablauf von fünfzig Jahren nach dem Tode des Urhebers, aber vor dem Inkrafttreten dieses Gesetzes veröffentlicht worden ist, richtet sich nach den bisherigen Vorschriften.</w:t>
      </w:r>
    </w:p>
    <w:p>
      <w:r>
        <w:rPr>
          <w:color w:val="555555"/>
          <w:sz w:val="17"/>
        </w:rPr>
        <w:t xml:space="preserve">Zitiervorschlag: § 129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