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UrhG — Schutz des Filmherstellers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nach den §§ 94 und 95 gewährten Schutz genießen deutsche Staatsangehörige oder Unternehmen mit Sitz im Geltungsbereich dieses Gesetzes für alle ihre Bildträger oder Bild- und Tonträger, gleichviel, ob und wo diese erschienen sind. § 120 Abs. 2 und § 126 Abs. 1 Satz 3 sind anzuwenden.</w:t>
      </w:r>
    </w:p>
    <w:p>
      <w:r>
        <w:t xml:space="preserve">(2) Für ausländische Staatsangehörige oder Unternehmen ohne Sitz im Geltungsbereich dieses Gesetzes gelten die Bestimmungen in § 126 Abs. 2 und 3 entsprechend.</w:t>
      </w:r>
    </w:p>
    <w:p>
      <w:r>
        <w:rPr>
          <w:color w:val="555555"/>
          <w:sz w:val="17"/>
        </w:rPr>
        <w:t xml:space="preserve">Zitiervorschlag: § 128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