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122 UrhG — Staatenlose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Staatenlose mit gewöhnlichem Aufenthalt im Geltungsbereich dieses Gesetzes genießen für ihre Werke den gleichen urheberrechtlichen Schutz wie deutsche Staatsangehörige.</w:t>
      </w:r>
    </w:p>
    <w:p>
      <w:r>
        <w:t xml:space="preserve">(2) Staatenlose ohne gewöhnlichen Aufenthalt im Geltungsbereich dieses Gesetzes genießen für ihre Werke den gleichen urheberrechtlichen Schutz wie die Angehörigen des ausländischen Staates, in dem sie ihren gewöhnlichen Aufenthalt haben.</w:t>
      </w:r>
    </w:p>
    <w:p>
      <w:r>
        <w:rPr>
          <w:color w:val="555555"/>
          <w:sz w:val="17"/>
        </w:rPr>
        <w:t xml:space="preserve">Zitiervorschlag: § 122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