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UrhG — Deutsche Staatsangehörige und Staatsangehörige anderer EU-Staaten und EWR-Staaten</w:t>
      </w:r>
    </w:p>
    <w:p>
      <w:r>
        <w:rPr>
          <w:color w:val="555555"/>
          <w:sz w:val="18"/>
        </w:rPr>
        <w:t xml:space="preserve">Urheberrechtsgesetz</w:t>
      </w:r>
    </w:p>
    <w:p>
      <w:r>
        <w:rPr>
          <w:color w:val="555555"/>
          <w:sz w:val="18"/>
        </w:rPr>
        <w:t xml:space="preserve">Stand: 10.06.2019 (konsolidierte Textfassung, kein amtliches Inkrafttretensdatum)</w:t>
      </w:r>
    </w:p>
    <w:p>
      <w:r>
        <w:t xml:space="preserve">(1) Deutsche Staatsangehörige genießen den urheberrechtlichen Schutz für alle ihre Werke, gleichviel, ob und wo die Werke erschienen sind. Ist ein Werk von Miturhebern (§ 8) geschaffen, so genügt es, wenn ein Miturheber deutscher Staatsangehöriger ist.</w:t>
      </w:r>
    </w:p>
    <w:p>
      <w:r>
        <w:t xml:space="preserve">(2) Deutschen Staatsangehörigen stehen gleich:</w:t>
      </w:r>
    </w:p>
    <w:p>
      <w:pPr>
        <w:ind w:left="420"/>
      </w:pPr>
      <w:r>
        <w:t xml:space="preserve">1. Deutsche im Sinne des Artikels 116 Abs. 1 des Grundgesetzes, die nicht die deutsche Staatsangehörigkeit besitzen, und</w:t>
      </w:r>
    </w:p>
    <w:p>
      <w:pPr>
        <w:ind w:left="420"/>
      </w:pPr>
      <w:r>
        <w:t xml:space="preserve">2. Staatsangehörige eines anderen Mitgliedstaates der Europäischen Union oder eines anderen Vertragsstaates des Abkommens über den Europäischen Wirtschaftsraum.</w:t>
      </w:r>
    </w:p>
    <w:p>
      <w:r>
        <w:rPr>
          <w:color w:val="555555"/>
          <w:sz w:val="17"/>
        </w:rPr>
        <w:t xml:space="preserve">Zitiervorschlag: § 120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