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119 UrhG — Zwangsvollstreckung in bestimmte Vorrichtungen</w:t>
      </w:r>
    </w:p>
    <w:p>
      <w:r>
        <w:rPr>
          <w:color w:val="555555"/>
          <w:sz w:val="18"/>
        </w:rPr>
        <w:t xml:space="preserve">Urheberrechtsgesetz</w:t>
      </w:r>
    </w:p>
    <w:p>
      <w:r>
        <w:rPr>
          <w:color w:val="555555"/>
          <w:sz w:val="18"/>
        </w:rPr>
        <w:t xml:space="preserve">Stand: 10.06.2019 (konsolidierte Textfassung, kein amtliches Inkrafttretensdatum)</w:t>
      </w:r>
    </w:p>
    <w:p>
      <w:r>
        <w:t xml:space="preserve">(1) Vorrichtungen, die ausschließlich zur Vervielfältigung oder Funksendung eines Werkes bestimmt sind, wie Formen, Platten, Steine, Druckstöcke, Matrizen und Negative, unterliegen der Zwangsvollstreckung wegen Geldforderungen nur, soweit der Gläubiger zur Nutzung des Werkes mittels dieser Vorrichtungen berechtigt ist.</w:t>
      </w:r>
    </w:p>
    <w:p>
      <w:r>
        <w:t xml:space="preserve">(2) Das gleiche gilt für Vorrichtungen, die ausschließlich zur Vorführung eines Filmwerkes bestimmt sind, wie Filmstreifen und dergleichen.</w:t>
      </w:r>
    </w:p>
    <w:p>
      <w:r>
        <w:t xml:space="preserve">(3) Die Absätze 1 und 2 sind auf die nach den §§ 70 und 71 geschützten Ausgaben, die nach § 72 geschützten Lichtbilder, die nach § 77 Abs. 2 Satz 1, §§ 85, 87, 94 und 95 geschützten Bild- und Tonträger und die nach § 87b Abs. 1 geschützten Datenbanken entsprechend anzuwenden.</w:t>
      </w:r>
    </w:p>
    <w:p>
      <w:r>
        <w:rPr>
          <w:color w:val="555555"/>
          <w:sz w:val="17"/>
        </w:rPr>
        <w:t xml:space="preserve">Zitiervorschlag: § 119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