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UrhG — Entsprechende Anwendung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113 bis 117 sind sinngemäß anzuwenden</w:t>
      </w:r>
    </w:p>
    <w:p>
      <w:pPr>
        <w:ind w:left="420"/>
      </w:pPr>
      <w:r>
        <w:t xml:space="preserve">1. auf die Zwangsvollstreckung wegen Geldforderungen gegen den Verfasser wissenschaftlicher Ausgaben (§ 70) und seinen Rechtsnachfolger,</w:t>
      </w:r>
    </w:p>
    <w:p>
      <w:pPr>
        <w:ind w:left="420"/>
      </w:pPr>
      <w:r>
        <w:t xml:space="preserve">2. auf die Zwangsvollstreckung wegen Geldforderungen gegen den Lichtbildner (§ 72) und seinen Rechtsnachfolger.</w:t>
      </w:r>
    </w:p>
    <w:p>
      <w:r>
        <w:rPr>
          <w:color w:val="555555"/>
          <w:sz w:val="17"/>
        </w:rPr>
        <w:t xml:space="preserve">Zitiervorschlag: § 118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