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UrhG — Originale von Werken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Rechtsnachfolger des Urhebers (§ 30) ist die Zwangsvollstreckung wegen Geldforderungen in die ihm gehörenden Originale von Werken des Urhebers nur mit seiner Einwilligung zulässig.</w:t>
      </w:r>
    </w:p>
    <w:p>
      <w:r>
        <w:t xml:space="preserve">(2) Der Einwilligung bedarf es nicht</w:t>
      </w:r>
    </w:p>
    <w:p>
      <w:pPr>
        <w:ind w:left="420"/>
      </w:pPr>
      <w:r>
        <w:t xml:space="preserve">1. in den Fällen des § 114 Abs. 2 Satz 1,</w:t>
      </w:r>
    </w:p>
    <w:p>
      <w:pPr>
        <w:ind w:left="420"/>
      </w:pPr>
      <w:r>
        <w:t xml:space="preserve">2. zur Zwangsvollstreckung in das Original eines Werkes, wenn das Werk erschienen ist.</w:t>
      </w:r>
    </w:p>
    <w:p>
      <w:r>
        <w:t xml:space="preserve">§ 114 Abs. 2 Satz 2 gilt entsprechend.</w:t>
      </w:r>
    </w:p>
    <w:p>
      <w:r>
        <w:rPr>
          <w:color w:val="555555"/>
          <w:sz w:val="17"/>
        </w:rPr>
        <w:t xml:space="preserve">Zitiervorschlag: § 116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