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111a UrhG — Bußgeldvorschriften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95a Abs. 3</w:t>
      </w:r>
    </w:p>
    <w:p>
      <w:pPr>
        <w:ind w:left="780"/>
      </w:pPr>
      <w:r>
        <w:t xml:space="preserve">a) eine Vorrichtung, ein Erzeugnis oder einen Bestandteil verkauft, vermietet oder über den Kreis der mit dem Täter persönlich verbundenen Personen hinaus verbreitet oder</w:t>
      </w:r>
    </w:p>
    <w:p>
      <w:pPr>
        <w:ind w:left="780"/>
      </w:pPr>
      <w:r>
        <w:t xml:space="preserve">b) zu gewerblichen Zwecken eine Vorrichtung, ein Erzeugnis oder einen Bestandteil besitzt, für deren Verkauf oder Vermietung wirbt oder eine Dienstleistung erbringt,</w:t>
      </w:r>
    </w:p>
    <w:p>
      <w:pPr>
        <w:ind w:left="420"/>
      </w:pPr>
      <w:r>
        <w:t xml:space="preserve">2. entgegen § 95b Abs. 1 Satz 1 ein notwendiges Mittel nicht zur Verfügung stellt oder</w:t>
      </w:r>
    </w:p>
    <w:p>
      <w:pPr>
        <w:ind w:left="420"/>
      </w:pPr>
      <w:r>
        <w:t xml:space="preserve">3. entgegen § 95d Absatz 2 Werke oder andere Schutzgegenstände nicht oder nicht vollständig kennzeichnet.</w:t>
      </w:r>
    </w:p>
    <w:p>
      <w:r>
        <w:t xml:space="preserve">(2) Die Ordnungswidrigkeit kann in den Fällen des Absatzes 1 Nr. 1 und 2 mit einer Geldbuße bis zu fünfzigtausend Euro und in den übrigen Fällen mit einer Geldbuße bis zu zehntausend Euro geahndet werden.</w:t>
      </w:r>
    </w:p>
    <w:p>
      <w:r>
        <w:rPr>
          <w:color w:val="555555"/>
          <w:sz w:val="17"/>
        </w:rPr>
        <w:t xml:space="preserve">Zitiervorschlag: § 111a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https://recht.nulegal.eu/gesetze/UrhG/111a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