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UrhG — Allgemeines</w:t>
      </w:r>
    </w:p>
    <w:p>
      <w:r>
        <w:rPr>
          <w:color w:val="555555"/>
          <w:sz w:val="18"/>
        </w:rPr>
        <w:t xml:space="preserve">Urheberrechtsgesetz</w:t>
      </w:r>
    </w:p>
    <w:p>
      <w:r>
        <w:rPr>
          <w:color w:val="555555"/>
          <w:sz w:val="18"/>
        </w:rPr>
        <w:t xml:space="preserve">Stand: 10.06.2019 (konsolidierte Textfassung, kein amtliches Inkrafttretensdatum)</w:t>
      </w:r>
    </w:p>
    <w:p>
      <w:r>
        <w:t xml:space="preserve">Das Urheberrecht schützt den Urheber in seinen geistigen und persönlichen Beziehungen zum Werk und in der Nutzung des Werkes. Es dient zugleich der Sicherung einer angemessenen Vergütung für die Nutzung des Werkes.</w:t>
      </w:r>
    </w:p>
    <w:p>
      <w:r>
        <w:rPr>
          <w:color w:val="555555"/>
          <w:sz w:val="17"/>
        </w:rPr>
        <w:t xml:space="preserve">Zitiervorschlag: § 11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