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UrhG — Rechtsweg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alle Rechtsstreitigkeiten, durch die ein Anspruch aus einem der in diesem Gesetz geregelten Rechtsverhältnisse geltend gemacht wird, (Urheberrechtsstreitsachen) ist der ordentliche Rechtsweg gegeben. Für Urheberrechtsstreitsachen aus Arbeits- oder Dienstverhältnissen, die ausschließlich Ansprüche auf Leistung einer vereinbarten Vergütung zum Gegenstand haben, bleiben der Rechtsweg zu den Gerichten für Arbeitssachen und der Verwaltungsrechtsweg unberührt.</w:t>
      </w:r>
    </w:p>
    <w:p>
      <w:r>
        <w:rPr>
          <w:color w:val="555555"/>
          <w:sz w:val="17"/>
        </w:rPr>
        <w:t xml:space="preserve">Zitiervorschlag: § 104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