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UrhDaG — Einfache Blockierung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Diensteanbieter ist nach Maßgabe von § 1 Absatz 2 verpflichtet, die öffentliche Wiedergabe eines Werkes durch Blockierung zu beenden, sobald der Rechtsinhaber dies verlangt und einen hinreichend begründeten Hinweis auf die unerlaubte öffentliche Wiedergabe des Werkes gibt.</w:t>
      </w:r>
    </w:p>
    <w:p>
      <w:r>
        <w:t xml:space="preserve">(2) § 7 Absatz 2 Satz 1 und Absatz 3 ist entsprechend anzuwenden.</w:t>
      </w:r>
    </w:p>
    <w:p>
      <w:r>
        <w:t xml:space="preserve">(3) Zur Blockierung künftiger unerlaubter Nutzungen des Werkes ist der Diensteanbieter nach Maßgabe von § 7 erst verpflichtet, nachdem der Rechtsinhaber die hierfür erforderlichen Informationen zur Verfügung stellt.</w:t>
      </w:r>
    </w:p>
    <w:p>
      <w:r>
        <w:rPr>
          <w:color w:val="555555"/>
          <w:sz w:val="17"/>
        </w:rPr>
        <w:t xml:space="preserve">Zitiervorschlag: § 8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