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 UrhDaG — Qualifizierte Blockierung</w:t>
      </w:r>
    </w:p>
    <w:p>
      <w:r>
        <w:rPr>
          <w:color w:val="555555"/>
          <w:sz w:val="18"/>
        </w:rPr>
        <w:t xml:space="preserve">Urheberrechts-Diensteanbieter-Gesetz</w:t>
      </w:r>
    </w:p>
    <w:p>
      <w:r>
        <w:rPr>
          <w:color w:val="555555"/>
          <w:sz w:val="18"/>
        </w:rPr>
        <w:t xml:space="preserve">Stand: 01.08.2021 (konsolidierte Textfassung, kein amtliches Inkrafttretensdatum)</w:t>
      </w:r>
    </w:p>
    <w:p>
      <w:r>
        <w:t xml:space="preserve">(1) Der Diensteanbieter ist nach Maßgabe von § 1 Absatz 2 verpflichtet, durch Sperrung oder Entfernung (Blockierung) bestmöglich sicherzustellen, dass ein Werk nicht öffentlich wiedergegeben wird und hierfür auch künftig nicht verfügbar ist, sobald der Rechtsinhaber dies verlangt und die hierfür erforderlichen Informationen zur Verfügung stellt.</w:t>
      </w:r>
    </w:p>
    <w:p>
      <w:r>
        <w:t xml:space="preserve">(2) Maßnahmen nach Absatz 1 dürfen nicht dazu führen, dass von Nutzern hochgeladene Inhalte, deren Nutzung gesetzlich erlaubt ist oder bei denen kein Verstoß gegen das Urheberrecht vorliegt, nicht verfügbar sind. Beim Einsatz automatisierter Verfahren sind die §§ 9 bis 11 anzuwenden. Satz 2 ist nicht anzuwenden auf Nutzungen von Filmwerken oder Laufbildern bis zum Abschluss ihrer erstmaligen öffentlichen Wiedergabe, insbesondere während der zeitgleichen Übertragung von Sportveranstaltungen, soweit der Rechtsinhaber dies vom Diensteanbieter verlangt und die hierfür erforderlichen Angaben macht.</w:t>
      </w:r>
    </w:p>
    <w:p>
      <w:r>
        <w:t xml:space="preserve">(3) Der Diensteanbieter informiert den Nutzer sofort über die Blockierung des von ihm hochgeladenen Inhalts und weist ihn auf das Recht hin, nach § 14 Beschwerde einzulegen.</w:t>
      </w:r>
    </w:p>
    <w:p>
      <w:r>
        <w:t xml:space="preserve">(4) Startup-Diensteanbieter (§ 2 Absatz 2) sind nicht nach Absatz 1 verpflichtet, solange die durchschnittliche monatliche Anzahl unterschiedlicher Besucher der Internetseiten des Dienstes 5 Millionen nicht übersteigt.</w:t>
      </w:r>
    </w:p>
    <w:p>
      <w:r>
        <w:t xml:space="preserve">(5) Es wird widerleglich vermutet, dass kleine Diensteanbieter (§ 2 Absatz 3) im Hinblick auf den Grundsatz der Verhältnismäßigkeit nicht nach Absatz 1 verpflichtet sind.</w:t>
      </w:r>
    </w:p>
    <w:p>
      <w:r>
        <w:rPr>
          <w:color w:val="555555"/>
          <w:sz w:val="17"/>
        </w:rPr>
        <w:t xml:space="preserve">Zitiervorschlag: § 7 UrhDaG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https://recht.nulegal.eu/gesetze/UrhDaG/7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