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UrhDaG — Erstreckung von Erlaubnissen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Ist dem Diensteanbieter die öffentliche Wiedergabe eines Werkes erlaubt, so wirkt diese Erlaubnis auch zugunsten des Nutzers, sofern dieser nicht kommerziell handelt oder keine erheblichen Einnahmen erzielt.</w:t>
      </w:r>
    </w:p>
    <w:p>
      <w:r>
        <w:t xml:space="preserve">(2) Verfügt der Nutzer über eine Erlaubnis, ein Werk über einen Diensteanbieter öffentlich wiederzugeben, so wirkt diese Erlaubnis auch zugunsten des Diensteanbieters.</w:t>
      </w:r>
    </w:p>
    <w:p>
      <w:r>
        <w:rPr>
          <w:color w:val="555555"/>
          <w:sz w:val="17"/>
        </w:rPr>
        <w:t xml:space="preserve">Zitiervorschlag: § 6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