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UrhDaG — Pflicht zum Erwerb vertraglicher Nutzungsrechte; Direktvergütungsanspruch des Urhebers</w:t>
      </w:r>
    </w:p>
    <w:p>
      <w:r>
        <w:rPr>
          <w:color w:val="555555"/>
          <w:sz w:val="18"/>
        </w:rPr>
        <w:t xml:space="preserve">Urheberrechts-Diensteanbieter-Gesetz</w:t>
      </w:r>
    </w:p>
    <w:p>
      <w:r>
        <w:rPr>
          <w:color w:val="555555"/>
          <w:sz w:val="18"/>
        </w:rPr>
        <w:t xml:space="preserve">Stand: 01.08.2021 (konsolidierte Textfassung, kein amtliches Inkrafttretensdatum)</w:t>
      </w:r>
    </w:p>
    <w:p>
      <w:r>
        <w:t xml:space="preserve">(1) Ein Diensteanbieter ist verpflichtet, bestmögliche Anstrengungen zu unternehmen, um die vertraglichen Nutzungsrechte für die öffentliche Wiedergabe urheberrechtlich geschützter Werke zu erwerben. Der Diensteanbieter erfüllt diese Pflicht, sofern er Nutzungsrechte erwirbt, die</w:t>
      </w:r>
    </w:p>
    <w:p>
      <w:pPr>
        <w:ind w:left="420"/>
      </w:pPr>
      <w:r>
        <w:t xml:space="preserve">1. ihm angeboten werden,</w:t>
      </w:r>
    </w:p>
    <w:p>
      <w:pPr>
        <w:ind w:left="420"/>
      </w:pPr>
      <w:r>
        <w:t xml:space="preserve">2. über repräsentative Rechtsinhaber verfügbar sind, die der Diensteanbieter kennt, oder</w:t>
      </w:r>
    </w:p>
    <w:p>
      <w:pPr>
        <w:ind w:left="420"/>
      </w:pPr>
      <w:r>
        <w:t xml:space="preserve">3. über im Inland ansässige Verwertungsgesellschaften oder abhängige Verwertungseinrichtungen erworben werden können.</w:t>
      </w:r>
    </w:p>
    <w:p>
      <w:r>
        <w:t xml:space="preserve">(2) Nutzungsrechte nach Absatz 1 Satz 2 müssen</w:t>
      </w:r>
    </w:p>
    <w:p>
      <w:pPr>
        <w:ind w:left="420"/>
      </w:pPr>
      <w:r>
        <w:t xml:space="preserve">1. für Inhalte gelten, die der Diensteanbieter ihrer Art nach offensichtlich in mehr als geringfügigen Mengen öffentlich wiedergibt,</w:t>
      </w:r>
    </w:p>
    <w:p>
      <w:pPr>
        <w:ind w:left="420"/>
      </w:pPr>
      <w:r>
        <w:t xml:space="preserve">2. in Bezug auf Werke und Rechtsinhaber ein erhebliches Repertoire umfassen,</w:t>
      </w:r>
    </w:p>
    <w:p>
      <w:pPr>
        <w:ind w:left="420"/>
      </w:pPr>
      <w:r>
        <w:t xml:space="preserve">3. den räumlichen Geltungsbereich dieses Gesetzes abdecken und</w:t>
      </w:r>
    </w:p>
    <w:p>
      <w:pPr>
        <w:ind w:left="420"/>
      </w:pPr>
      <w:r>
        <w:t xml:space="preserve">4. die Nutzung zu angemessenen Bedingungen ermöglichen.</w:t>
      </w:r>
    </w:p>
    <w:p>
      <w:r>
        <w:t xml:space="preserve">(3) Hat der Urheber das Recht der öffentlichen Wiedergabe eines Werkes einem Dritten eingeräumt, so hat der Diensteanbieter für vertragliche Nutzungen gleichwohl dem Urheber eine angemessene Vergütung für die öffentliche Wiedergabe des Werkes zu zahlen. Satz 1 ist nicht anzuwenden, wenn der Dritte eine Verwertungsgesellschaft ist oder der Urheber den Dritten als Digitalvertrieb einschaltet.</w:t>
      </w:r>
    </w:p>
    <w:p>
      <w:r>
        <w:t xml:space="preserve">(4) Der Urheber kann auf den Direktvergütungsanspruch nach Absatz 3 nicht verzichten und diesen im Voraus nur an eine Verwertungsgesellschaft abtreten. Er kann nur durch eine Verwertungsgesellschaft geltend gemacht werden.</w:t>
      </w:r>
    </w:p>
    <w:p>
      <w:r>
        <w:rPr>
          <w:color w:val="555555"/>
          <w:sz w:val="17"/>
        </w:rPr>
        <w:t xml:space="preserve">Zitiervorschlag: § 4 UrhDaG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https://recht.nulegal.eu/gesetze/UrhDaG/4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