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UrhDaG — Anwendung auf verwandte Schutzrechte</w:t>
      </w:r>
    </w:p>
    <w:p>
      <w:r>
        <w:rPr>
          <w:color w:val="555555"/>
          <w:sz w:val="18"/>
        </w:rPr>
        <w:t xml:space="preserve">Urheberrechts-Diensteanbieter-Gesetz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Dieses Gesetz ist auf verwandte Schutzrechte im Sinne des Urheberrechtsgesetzes und ihre Inhaber entsprechend anzuwenden.</w:t>
      </w:r>
    </w:p>
    <w:p>
      <w:r>
        <w:t xml:space="preserve">(2) Der Direktvergütungsanspruch nach § 4 steht nur dem Lichtbildner und dem ausübenden Künstler zu.</w:t>
      </w:r>
    </w:p>
    <w:p>
      <w:r>
        <w:rPr>
          <w:color w:val="555555"/>
          <w:sz w:val="17"/>
        </w:rPr>
        <w:t xml:space="preserve">Zitiervorschlag: § 21 UrhDaG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https://recht.nulegal.eu/gesetze/UrhDaG/21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