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UrhDaG — Auskunftsrechte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Der Rechtsinhaber kann von dem Diensteanbieter Auskunft über die nach § 4 vertraglich erlaubte Nutzung seines Repertoires verlangen.</w:t>
      </w:r>
    </w:p>
    <w:p>
      <w:r>
        <w:t xml:space="preserve">(2) Der Rechtsinhaber kann von dem Diensteanbieter angemessene Auskunft über die Funktionsweise der Verfahren zur Blockierung unerlaubter Nutzungen seines Repertoires nach den §§ 7 und 8 verlangen.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19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