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 UrhDaG — Außergerichtliche Streitbeilegung durch die behördliche Schlichtungsstelle</w:t>
      </w:r>
    </w:p>
    <w:p>
      <w:r>
        <w:rPr>
          <w:color w:val="555555"/>
          <w:sz w:val="18"/>
        </w:rPr>
        <w:t xml:space="preserve">Urheberrechts-Diensteanbieter-Gesetz</w:t>
      </w:r>
    </w:p>
    <w:p>
      <w:r>
        <w:rPr>
          <w:color w:val="555555"/>
          <w:sz w:val="18"/>
        </w:rPr>
        <w:t xml:space="preserve">Stand: 14.05.2024 (konsolidierte Textfassung, kein amtliches Inkrafttretensdatum)</w:t>
      </w:r>
    </w:p>
    <w:p>
      <w:r>
        <w:t xml:space="preserve">(1) Das Bundesamt für Justiz richtet im Einvernehmen mit dem Deutschen Patent- und Markenamt eine behördliche Schlichtungsstelle ein.</w:t>
      </w:r>
    </w:p>
    <w:p>
      <w:r>
        <w:t xml:space="preserve">(2) Die behördliche Schlichtungsstelle ist nur zuständig, wenn eine privatrechtlich organisierte Schlichtungsstelle nach § 16 nicht zur Verfügung steht. § 16 Absatz 1 Satz 1, Absatz 2 Satz 1 Nummer 2 bis 5, Absatz 3 und 4 ist entsprechend anzuwenden.</w:t>
      </w:r>
    </w:p>
    <w:p>
      <w:r>
        <w:t xml:space="preserve">(3) Die behördliche Schlichtungsstelle hat jeweils bis zum 31. Juli einen Tätigkeitsbericht über das vorangegangene Kalenderjahr auf ihrer Internetseite zu veröffentlichen.</w:t>
      </w:r>
    </w:p>
    <w:p>
      <w:r>
        <w:t xml:space="preserve">(4) Die behördliche Schlichtungsstelle kann für die Durchführung des Schlichtungsverfahrens Gebühren erheben. Die Gebühren hat sie in ihrer Schlichtungsordnung anzugeben.</w:t>
      </w:r>
    </w:p>
    <w:p>
      <w:r>
        <w:rPr>
          <w:color w:val="555555"/>
          <w:sz w:val="17"/>
        </w:rPr>
        <w:t xml:space="preserve">Zitiervorschlag: § 17 UrhDaG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https://recht.nulegal.eu/gesetze/UrhDaG/17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