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UrhDaG — Rechtsbehelfe; Schutz vor Entstellung; Zugang zu den Gerichten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Nutzer und Rechtsinhaber ist die Teilnahme an Beschwerdeverfahren nach den §§ 14 und 15 freiwillig.</w:t>
      </w:r>
    </w:p>
    <w:p>
      <w:r>
        <w:t xml:space="preserve">(2) Für Nutzer, Rechtsinhaber und Diensteanbieter ist die Teilnahme an außergerichtlichen Streitbeilegungen nach den §§ 16 und 17 freiwillig.</w:t>
      </w:r>
    </w:p>
    <w:p>
      <w:r>
        <w:t xml:space="preserve">(3) Der Schutz des Urhebers vor Entstellung seines Werkes nach § 14 des Urheberrechtsgesetzes bleibt unberührt. Der Urheber kann hierzu auch im Anwendungsbereich der §§ 9 bis 11 die einfache Blockierung nach § 8 verlangen.</w:t>
      </w:r>
    </w:p>
    <w:p>
      <w:r>
        <w:t xml:space="preserve">(4) Das Recht, die Gerichte anzurufen, bleibt unberührt.</w:t>
      </w:r>
    </w:p>
    <w:p>
      <w:r>
        <w:rPr>
          <w:color w:val="555555"/>
          <w:sz w:val="17"/>
        </w:rPr>
        <w:t xml:space="preserve">Zitiervorschlag: § 13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