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UrhDaG — Kennzeichnung als erlaubte Nutzung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Soll ein nutzergenerierter Inhalt beim Hochladen automatisiert blockiert werden und handelt es sich nicht um eine geringfügige Nutzung nach § 10, so ist der Diensteanbieter verpflichtet,</w:t>
      </w:r>
    </w:p>
    <w:p>
      <w:pPr>
        <w:ind w:left="420"/>
      </w:pPr>
      <w:r>
        <w:t xml:space="preserve">1. den Nutzer über das Blockierverlangen des Rechtsinhabers zu informieren,</w:t>
      </w:r>
    </w:p>
    <w:p>
      <w:pPr>
        <w:ind w:left="420"/>
      </w:pPr>
      <w:r>
        <w:t xml:space="preserve">2. den Nutzer zugleich mit der Information nach Nummer 1 auf die Erforderlichkeit einer gesetzlichen Erlaubnis nach § 5 für eine öffentliche Wiedergabe hinzuweisen und</w:t>
      </w:r>
    </w:p>
    <w:p>
      <w:pPr>
        <w:ind w:left="420"/>
      </w:pPr>
      <w:r>
        <w:t xml:space="preserve">3. es dem Nutzer zu ermöglichen, die Nutzung als nach § 5 gesetzlich erlaubt zu kennzeichnen.</w:t>
      </w:r>
    </w:p>
    <w:p>
      <w:r>
        <w:t xml:space="preserve">(2) Soll ein nutzergenerierter Inhalt erst nach dem Hochladen automatisiert blockiert werden, so findet Absatz 1 mit der Maßgabe Anwendung, dass der Inhalt auch ohne Vorliegen einer Kennzeichnung nach Absatz 1 Nummer 3 für 48 Stunden als mutmaßlich erlaubt gilt.</w:t>
      </w:r>
    </w:p>
    <w:p>
      <w:r>
        <w:rPr>
          <w:color w:val="555555"/>
          <w:sz w:val="17"/>
        </w:rPr>
        <w:t xml:space="preserve">Zitiervorschlag: § 11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