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UntVergV (Bayern)</w:t>
      </w:r>
    </w:p>
    <w:p>
      <w:r>
        <w:rPr>
          <w:color w:val="555555"/>
          <w:sz w:val="18"/>
        </w:rPr>
        <w:t xml:space="preserve">Unterrichtsvergütungsverordnung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79 Satz 1 des Bayerischen Besoldungsgesetzes (BayBesG) vom 5. August 2010 (GVBl S. 410, ber. S. 764, BayRS 2032-1-1-F), zuletzt geändert durch § 2 des Gesetzes vom 22. Mai 2013 (GVBl S. 301), erlässt das Bayerische Staatsministerium für Unterricht und Kultus im Einvernehmen mit dem Bayerischen Staatsministerium der Finanzen folgende Verordnung:</w:t>
      </w:r>
    </w:p>
    <w:p>
      <w:r>
        <w:rPr>
          <w:color w:val="555555"/>
          <w:sz w:val="17"/>
        </w:rPr>
        <w:t xml:space="preserve">Zitiervorschlag: Eingangsformel UntVergV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https://recht.nulegal.eu/gesetze/UntVergV/eingangsformel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