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UntVergV (Bayern) — Höhe</w:t>
      </w:r>
    </w:p>
    <w:p>
      <w:r>
        <w:rPr>
          <w:color w:val="555555"/>
          <w:sz w:val="18"/>
        </w:rPr>
        <w:t xml:space="preserve">Unterrichtsvergütungsverordnung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Unterrichtsvergütung je vergütungsfähiger Unterrichtsstunde wird in Höhe des Stundensatzes gewährt, der gemäß Art. 61 Abs. 5 BayBesG in Verbindung mit Anlage 9 BayBesG für das angestrebte Lehramt jeweils als Mehrarbeitsvergütung festgelegt ist. Die sich daraus ergebende Unterrichtsvergütung darf im Kalendermonat den Anwärtergrundbetrag nach Art. 77 BayBesG in Verbindung mit Anlage 10 BayBesG nicht überschreiten.</w:t>
      </w:r>
    </w:p>
    <w:p>
      <w:r>
        <w:rPr>
          <w:color w:val="555555"/>
          <w:sz w:val="17"/>
        </w:rPr>
        <w:t xml:space="preserve">Zitiervorschlag: § 5 UntVergV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https://recht.nulegal.eu/gesetze/UntVergV/5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