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UntVergV (Bayern) — Allgemeine Voraussetzungen</w:t>
      </w:r>
    </w:p>
    <w:p>
      <w:r>
        <w:rPr>
          <w:color w:val="555555"/>
          <w:sz w:val="18"/>
        </w:rPr>
        <w:t xml:space="preserve">Unterrichtsvergütungsverordnung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Lehramtsanwärtern wird nach Maßgabe der §§ 5 bis 7 mit den Bezügen für Anwärterinnen und Anwärter im Sinn des Art. 75 des Bayerischen Besoldungsgesetzes (BayBesG) eine Unterrichtsvergütung gewährt, wenn sie eigenverantwortlichen Unterricht erteilen und die Unterrichtsstunden vergütungsfähig sind.</w:t>
      </w:r>
    </w:p>
    <w:p>
      <w:r>
        <w:t xml:space="preserve">(2) Lehramtsanwärter im Sinn dieser Verordnung sind auch die Studienreferendarinnen und Studienreferendare sowie die Fachlehreranwärterinnen und Fachlehreranwärter.</w:t>
      </w:r>
    </w:p>
    <w:p>
      <w:r>
        <w:rPr>
          <w:color w:val="555555"/>
          <w:sz w:val="17"/>
        </w:rPr>
        <w:t xml:space="preserve">Zitiervorschlag: § 1 UntVergV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https://recht.nulegal.eu/gesetze/UntVergV/1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