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UntAbschlG — Verfahren, Rechtsweg</w:t>
      </w:r>
    </w:p>
    <w:p>
      <w:r>
        <w:rPr>
          <w:color w:val="555555"/>
          <w:sz w:val="18"/>
        </w:rPr>
        <w:t xml:space="preserve">Unterstützungsabschlußgesetz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Das Erste und Zehnte Buch Sozialgesetzbuch sowie die Vorschriften des Sozialgerichtsgesetzes über das Vorverfahren sind anzuwenden. Die §§ 117, 118 und 119 Absatz 2 des Vierzehnten Buches Sozialgesetzbuch gelten entsprechend.</w:t>
      </w:r>
    </w:p>
    <w:p>
      <w:r>
        <w:t xml:space="preserve">(2) Über Streitigkeiten auf Grund dieses Gesetzes entscheiden die Gerichte der Sozialgerichtsbarkeit.</w:t>
      </w:r>
    </w:p>
    <w:p>
      <w:r>
        <w:rPr>
          <w:color w:val="555555"/>
          <w:sz w:val="17"/>
        </w:rPr>
        <w:t xml:space="preserve">Zitiervorschlag: § 9 UntAbschlG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https://recht.nulegal.eu/gesetze/UntAbschlG/9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