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UntAbschlG — Zuständige Behörde</w:t>
      </w:r>
    </w:p>
    <w:p>
      <w:r>
        <w:rPr>
          <w:color w:val="555555"/>
          <w:sz w:val="18"/>
        </w:rPr>
        <w:t xml:space="preserve">Unterstützungsabschlußgesetz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sachliche und örtliche Zuständigkeit bestimmt sich nach Landesrecht.</w:t>
      </w:r>
    </w:p>
    <w:p>
      <w:r>
        <w:t xml:space="preserve">(2) Zur Gewährung der Unterstützung ist das Land verpflichtet, in dem der Geschädigte zum Zeitpunkt der medizinischen Betreuungsmaßnahme seinen Wohnsitz oder gewöhnlichen Aufenthalt hatte.</w:t>
      </w:r>
    </w:p>
    <w:p>
      <w:r>
        <w:rPr>
          <w:color w:val="555555"/>
          <w:sz w:val="17"/>
        </w:rPr>
        <w:t xml:space="preserve">Zitiervorschlag: § 8 UntAbschlG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https://recht.nulegal.eu/gesetze/UntAbschlG/8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