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UntAbschlG — Anspruch auf Unterstützung</w:t>
      </w:r>
    </w:p>
    <w:p>
      <w:r>
        <w:rPr>
          <w:color w:val="555555"/>
          <w:sz w:val="18"/>
        </w:rPr>
        <w:t xml:space="preserve">Unterstützungsabschlußgesetz</w:t>
      </w:r>
    </w:p>
    <w:p>
      <w:r>
        <w:rPr>
          <w:color w:val="555555"/>
          <w:sz w:val="18"/>
        </w:rPr>
        <w:t xml:space="preserve">Stand: 10.06.2019 (konsolidierte Textfassung, kein amtliches Inkrafttretensdatum)</w:t>
      </w:r>
    </w:p>
    <w:p>
      <w:r>
        <w:t xml:space="preserve">(1) Deutsche Staatsangehörige, die ihren Wohnsitz oder gewöhnlichen Aufenthalt in der Bundesrepublik Deutschland haben und vor dem 3. Oktober 1990 in dem in Artikel 3 des Einigungsvertrages genannten Gebiet unter den in Absatz 2 genannten Voraussetzungen durch medizinische Betreuungsmaßnahmen einen erheblichen Gesundheitsschaden erlitten haben, erhalten auf Antrag Unterstützung zum Ausgleich der durch die Schädigung bedingten wirtschaftlichen Folgen.</w:t>
      </w:r>
    </w:p>
    <w:p>
      <w:r>
        <w:t xml:space="preserve">(2) Voraussetzung für Unterstützung ist</w:t>
      </w:r>
    </w:p>
    <w:p>
      <w:pPr>
        <w:ind w:left="420"/>
      </w:pPr>
      <w:r>
        <w:t xml:space="preserve">1. die Durchführung eines medizinischen Eingriffs, der zu einer erheblichen Gesundheitsschädigung geführt hat, die im krassen Mißverhältnis zu dem Risiko stehen muß, von dem nach den Erfahrungen der medizinischen Wissenschaft und den Erfahrungen der ärztlichen Praxis zum Zeitpunkt des Eingriffs ausgegangen werden konnte. Medizinische Eingriffe im Sinne dieses Gesetze sind alle diagnostischen und therapeutischen Maßnahmen, die mit operativ-chirurgischen oder anderen instrumentellen Handlungen verbunden sind. Dazu zählen auch funktionsdiagnostische und physiotherapeutische Maßnahmen sowie therapeutische Maßnahmen unter Anwendung von Quellen ionisierender Strahlung;</w:t>
      </w:r>
    </w:p>
    <w:p>
      <w:pPr>
        <w:ind w:left="420"/>
      </w:pPr>
      <w:r>
        <w:t xml:space="preserve">2. die bestimmungsgemäße Anwendung eines ärztlich verordneten Arzneimittels mit der Folge einer erheblichen Gesundheitsschädigung, die nach dem damaligen Stand der medizinischen Wissenschaft auf damals nicht bekannte oder nicht vorhersehbare schädliche Wirkungen des Arzneimittels zurückzuführen ist;</w:t>
      </w:r>
    </w:p>
    <w:p>
      <w:pPr>
        <w:ind w:left="420"/>
      </w:pPr>
      <w:r>
        <w:t xml:space="preserve">3. die ärztlich angewiesene und bestimmungsgemäße Anwendung eines medizintechnischen Erzeugnisses mit der Folge einer erheblichen Gesundheitsschädigung, die nach dem damaligen Stand der medizinischen Wissenschaft auf damals nicht bekannte oder nicht vorhersehbare schädliche Wirkungen oder auf technisches Versagen des medizintechnischen Erzeugnisses zurückzuführen ist.</w:t>
      </w:r>
    </w:p>
    <w:p>
      <w:r>
        <w:t xml:space="preserve">(3) Ein Anspruch auf Unterstützung besteht nicht, wenn dem Geschädigten ein zivilrechtlicher Schadensersatzanspruch zusteht.</w:t>
      </w:r>
    </w:p>
    <w:p>
      <w:r>
        <w:rPr>
          <w:color w:val="555555"/>
          <w:sz w:val="17"/>
        </w:rPr>
        <w:t xml:space="preserve">Zitiervorschlag: § 1 UntAbschlG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https://recht.nulegal.eu/gesetze/UntAbschlG/1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