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UnivSchlichtV</w:t>
      </w:r>
    </w:p>
    <w:p>
      <w:r>
        <w:rPr>
          <w:color w:val="555555"/>
          <w:sz w:val="18"/>
        </w:rPr>
        <w:t xml:space="preserve">Universalschlichtungsstellenverordnung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Auf Grund des § 42 Absatz 2 des Verbraucherstreitbeilegungsgesetzes, der durch Artikel 1 Nummer 14 Buchstabe b des Gesetzes vom 30. November 2019 (BGBl. I S. 1942) neu gefasst worden ist, verordnet das Bundesministerium der Justiz und für Verbraucherschutz:</w:t>
      </w:r>
    </w:p>
    <w:p>
      <w:r>
        <w:rPr>
          <w:color w:val="555555"/>
          <w:sz w:val="17"/>
        </w:rPr>
        <w:t xml:space="preserve">Zitiervorschlag: Eingangsformel UnivSchlichtV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https://recht.nulegal.eu/gesetze/UnivSchlichtV/eingangsformel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