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UnifV 2008</w:t>
      </w:r>
    </w:p>
    <w:p>
      <w:r>
        <w:rPr>
          <w:color w:val="555555"/>
          <w:sz w:val="18"/>
        </w:rPr>
        <w:t xml:space="preserve">Uniformverordnung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4a Satz 2 in Verbindung mit § 93 Abs. 2 Nr. 2 des Soldatengesetzes in der Fassung der Bekanntmachung vom 30. Mai 2005 (BGBl. I S. 1482) verordnet das Bundesministerium der Verteidigung:</w:t>
      </w:r>
    </w:p>
    <w:p>
      <w:r>
        <w:rPr>
          <w:color w:val="555555"/>
          <w:sz w:val="17"/>
        </w:rPr>
        <w:t xml:space="preserve">Zitiervorschlag: Eingangsformel UnifV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https://recht.nulegal.eu/gesetze/UnifV%202008/eingangsformel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