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UnifV 2008 — Widerruf der Genehmigung</w:t>
      </w:r>
    </w:p>
    <w:p>
      <w:r>
        <w:rPr>
          <w:color w:val="555555"/>
          <w:sz w:val="18"/>
        </w:rPr>
        <w:t xml:space="preserve">Uniformverordnung</w:t>
      </w:r>
    </w:p>
    <w:p>
      <w:r>
        <w:rPr>
          <w:color w:val="555555"/>
          <w:sz w:val="18"/>
        </w:rPr>
        <w:t xml:space="preserve">Stand: 10.06.2019 (konsolidierte Textfassung, kein amtliches Inkrafttretensdatum)</w:t>
      </w:r>
    </w:p>
    <w:p>
      <w:r>
        <w:t xml:space="preserve">Die Genehmigung kann jederzeit widerrufen werden. Sie ist zu widerrufen, wenn zu befürchten ist, dass durch das Auftreten der früheren Soldatin oder des früheren Soldaten in Uniform das Ansehen der Bundeswehr in der Öffentlichkeit beeinträchtigt oder die Trageberechtigung missbraucht wird.</w:t>
      </w:r>
    </w:p>
    <w:p>
      <w:r>
        <w:rPr>
          <w:color w:val="555555"/>
          <w:sz w:val="17"/>
        </w:rPr>
        <w:t xml:space="preserve">Zitiervorschlag: § 7 UnifV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https://recht.nulegal.eu/gesetze/UnifV%202008/7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