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UnifV 2008 — Genehmigung</w:t>
      </w:r>
    </w:p>
    <w:p>
      <w:r>
        <w:rPr>
          <w:color w:val="555555"/>
          <w:sz w:val="18"/>
        </w:rPr>
        <w:t xml:space="preserve">Uniformverordnung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Genehmigung bedarf der Schriftform. Im Falle des § 3 Nr. 6 kann die Genehmigung mit der Entscheidung über die Zuziehung zu der dienstlichen Veranstaltung verbunden werden. Erfolgt die Zuziehung ausnahmsweise nur mündlich, kann die Genehmigung ebenfalls mündlich erteilt werden.</w:t>
      </w:r>
    </w:p>
    <w:p>
      <w:r>
        <w:t xml:space="preserve">(2) In den Fällen des § 3 Nr. 1 bis 4 wird die Genehmigung unbefristet erteilt, im Übrigen jeweils nur für einen bestimmten Anlass. In den Fällen des § 3 Nr. 1 bis 5 umfasst die Genehmigung auch die Hin- und Rückreise zu dem jeweiligen Anlass.</w:t>
      </w:r>
    </w:p>
    <w:p>
      <w:r>
        <w:t xml:space="preserve">(3) Die Genehmigung wird nur erteilt, wenn die Antragstellerin oder der Antragsteller und in den Fällen des § 3 Nr. 5 und des § 5 Abs. 3 Nr. 2 auch die Art und die voraussichtlichen Umstände der Veranstaltung die Gewähr bieten, dass das Ansehen der Bundeswehr in der Öffentlichkeit nicht beeinträchtigt und die Trageberechtigung nicht missbraucht wird.</w:t>
      </w:r>
    </w:p>
    <w:p>
      <w:r>
        <w:t xml:space="preserve">(4) Der Genehmigungsbescheid ist mitzuführen, während die Uniform getragen wird. Er ist auf Verlangen der Polizei oder der Feldjäger vorzuzeigen. Ist im Fall des § 3 Nr. 6 die Genehmigung gemäß Absatz 1 Satz 3 ausnahmsweise nur mündlich erteilt worden, sind die Angaben zur Erreichbarkeit der genehmigenden Stelle bereitzuhalten.</w:t>
      </w:r>
    </w:p>
    <w:p>
      <w:r>
        <w:rPr>
          <w:color w:val="555555"/>
          <w:sz w:val="17"/>
        </w:rPr>
        <w:t xml:space="preserve">Zitiervorschlag: § 6 UnifV 2008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https://recht.nulegal.eu/gesetze/UnifV%202008/6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