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UnifV 2008 — Ausschlusstatbestände</w:t>
      </w:r>
    </w:p>
    <w:p>
      <w:r>
        <w:rPr>
          <w:color w:val="555555"/>
          <w:sz w:val="18"/>
        </w:rPr>
        <w:t xml:space="preserve">Uniformverordnung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Genehmigung darf nicht erteilt werden für</w:t>
      </w:r>
    </w:p>
    <w:p>
      <w:pPr>
        <w:ind w:left="420"/>
      </w:pPr>
      <w:r>
        <w:t xml:space="preserve">1. Veranstaltungen, an denen die frühere Soldatin oder der frühere Soldat beruflich oder ehrenamtlich teilnimmt, mit Ausnahme der Veranstaltungen nach § 3 Nr. 4 sowie</w:t>
      </w:r>
    </w:p>
    <w:p>
      <w:pPr>
        <w:ind w:left="420"/>
      </w:pPr>
      <w:r>
        <w:t xml:space="preserve">2. Anlässe, bei denen auch Soldatinnen und Soldaten der Bundeswehr die Uniform nicht tragen dürfen.</w:t>
      </w:r>
    </w:p>
    <w:p>
      <w:r>
        <w:rPr>
          <w:color w:val="555555"/>
          <w:sz w:val="17"/>
        </w:rPr>
        <w:t xml:space="preserve">Zitiervorschlag: § 4 UnifV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https://recht.nulegal.eu/gesetze/UnifV%202008/4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