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UnifV 2008 — Anlässe</w:t>
      </w:r>
    </w:p>
    <w:p>
      <w:r>
        <w:rPr>
          <w:color w:val="555555"/>
          <w:sz w:val="18"/>
        </w:rPr>
        <w:t xml:space="preserve">Uniformverordnung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Das Tragen der Uniform kann genehmigt werden für</w:t>
      </w:r>
    </w:p>
    <w:p>
      <w:pPr>
        <w:ind w:left="420"/>
      </w:pPr>
      <w:r>
        <w:t xml:space="preserve">1. festliche Familienereignisse, wie Hochzeiten, Taufen oder Anlässe ähnlicher Bedeutung,</w:t>
      </w:r>
    </w:p>
    <w:p>
      <w:pPr>
        <w:ind w:left="420"/>
      </w:pPr>
      <w:r>
        <w:t xml:space="preserve">2. Bestattungen von Angehörigen, Kameradinnen und Kameraden,</w:t>
      </w:r>
    </w:p>
    <w:p>
      <w:pPr>
        <w:ind w:left="420"/>
      </w:pPr>
      <w:r>
        <w:t xml:space="preserve">3. festliche Veranstaltungen und öffentliche Gedenkfeiern des Bundes, der Länder und Gemeinden und anderer Körperschaften des öffentlichen Rechts,</w:t>
      </w:r>
    </w:p>
    <w:p>
      <w:pPr>
        <w:ind w:left="420"/>
      </w:pPr>
      <w:r>
        <w:t xml:space="preserve">4. Veranstaltungen von Soldatinnen-, Soldaten-, Reservistinnen- und Reservistenvereinigungen, zu denen kein Kontaktverbot der Bundeswehr besteht,</w:t>
      </w:r>
    </w:p>
    <w:p>
      <w:pPr>
        <w:ind w:left="420"/>
      </w:pPr>
      <w:r>
        <w:t xml:space="preserve">5. andere repräsentative oder im Interesse der Bundeswehr besonders förderungswürdige Veranstaltungen sowie</w:t>
      </w:r>
    </w:p>
    <w:p>
      <w:pPr>
        <w:ind w:left="420"/>
      </w:pPr>
      <w:r>
        <w:t xml:space="preserve">6. Reisen zu dienstlichen Veranstaltungen nach § 81 des Soldatengesetzes einschließlich der Rückreisen.</w:t>
      </w:r>
    </w:p>
    <w:p>
      <w:r>
        <w:rPr>
          <w:color w:val="555555"/>
          <w:sz w:val="17"/>
        </w:rPr>
        <w:t xml:space="preserve">Zitiervorschlag: § 3 UnifV 2008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https://recht.nulegal.eu/gesetze/UnifV%202008/3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