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UnifV 2008 — Grundsatz</w:t>
      </w:r>
    </w:p>
    <w:p>
      <w:r>
        <w:rPr>
          <w:color w:val="555555"/>
          <w:sz w:val="18"/>
        </w:rPr>
        <w:t xml:space="preserve">Uniformverordnung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Früheren Soldatinnen und früheren Soldaten kann für die in § 3 genannten Anlässe das Tragen der Uniform außerhalb eines Wehrdienstes genehmigt werden.</w:t>
      </w:r>
    </w:p>
    <w:p>
      <w:r>
        <w:rPr>
          <w:color w:val="555555"/>
          <w:sz w:val="17"/>
        </w:rPr>
        <w:t xml:space="preserve">Zitiervorschlag: § 1 UnifV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https://recht.nulegal.eu/gesetze/UnifV%202008/1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UnifV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