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UniBwLeistBV</w:t>
      </w:r>
    </w:p>
    <w:p>
      <w:r>
        <w:rPr>
          <w:color w:val="555555"/>
          <w:sz w:val="18"/>
        </w:rPr>
        <w:t xml:space="preserve">Leistungsbezügeverordnung UniBw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33 Abs. 4 und des § 35 Abs. 2 des Bundesbesoldungsgesetzes in der Fassung der Bekanntmachung vom 6. August 2002 (BGBl. I S. 3020) verordnet das Bundesministerium der Verteidigung:</w:t>
      </w:r>
    </w:p>
    <w:p>
      <w:r>
        <w:rPr>
          <w:color w:val="555555"/>
          <w:sz w:val="17"/>
        </w:rPr>
        <w:t xml:space="preserve">Zitiervorschlag: Eingangsformel UniBwLeistBV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https://recht.nulegal.eu/gesetze/UniBwLeistBV/eingangsformel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