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UniBwLeistBV — Funktions-Leistungsbezüge</w:t>
      </w:r>
    </w:p>
    <w:p>
      <w:r>
        <w:rPr>
          <w:color w:val="555555"/>
          <w:sz w:val="18"/>
        </w:rPr>
        <w:t xml:space="preserve">Leistungsbezügeverordnung UniBw</w:t>
      </w:r>
    </w:p>
    <w:p>
      <w:r>
        <w:rPr>
          <w:color w:val="555555"/>
          <w:sz w:val="18"/>
        </w:rPr>
        <w:t xml:space="preserve">Stand: 10.06.2019 (konsolidierte Textfassung, kein amtliches Inkrafttretensdatum)</w:t>
      </w:r>
    </w:p>
    <w:p>
      <w:r>
        <w:t xml:space="preserve">(1) Funktions-Leistungsbezüge können an die hauptamtlichen Mitglieder der Universitätsleitungen (Präsidentin oder Präsident, Kanzlerin oder Kanzler), soweit ihre Ämter nicht den Bundesbesoldungsordnungen A und B zugewiesen sind, und an die Professorinnen und Professoren, die als nebenamtliche Vizepräsidentin oder nebenamtlicher Vizepräsident oder als Dekanin, Dekan, Studiendekanin oder Studiendekan tätig sind, vergeben werden. Dies gilt auch für die Wahrnehmung weiterer Funktionen oder besonderer Aufgaben im Rahmen der Leitung oder Selbstverwaltung der Universität. Neben einem Funktions-Leistungsbezug nach Satz 1 oder 2 darf kein weiterer Funktions-Leistungsbezug vergeben werden.</w:t>
      </w:r>
    </w:p>
    <w:p>
      <w:r>
        <w:t xml:space="preserve">(2) Bei der Bemessung der Funktions-Leistungsbezüge sind unter Beachtung des Grundsatzes der funktionsgerechten Besoldung (§ 18 des Bundesbesoldungsgesetzes) die mit der Funktion oder der Aufgabe verbundene Verantwortung und Belastung zu berücksichtigen. Funktions-Leistungsbezüge können ganz oder teilweise erfolgsabhängig gewährt werden. Nicht erfolgsabhängig gewährte Leistungsbezüge nehmen an den regelmäßigen Besoldungsanpassungen nach § 14 des Bundesbesoldungsgesetzes mit dem Prozentsatz teil, um den sich das Grundgehalt der Besoldungsgruppe verändert, der die Professorin oder der Professor oder das Mitglied der Universitätsleitung angehört.</w:t>
      </w:r>
    </w:p>
    <w:p>
      <w:r>
        <w:rPr>
          <w:color w:val="555555"/>
          <w:sz w:val="17"/>
        </w:rPr>
        <w:t xml:space="preserve">Zitiervorschlag: § 5 UniBwLeistBV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https://recht.nulegal.eu/gesetze/UniBwLeistBV/5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