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UnBefG 1979 — Inkrafttreten</w:t>
      </w:r>
    </w:p>
    <w:p>
      <w:r>
        <w:rPr>
          <w:color w:val="555555"/>
          <w:sz w:val="18"/>
        </w:rPr>
        <w:t xml:space="preserve">Gesetz über die unentgeltliche Beförderung Schwerbehinderter im öffentlichen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Oktober 1979 in Kraft.</w:t>
      </w:r>
    </w:p>
    <w:p>
      <w:r>
        <w:t xml:space="preserve">(2) Mit dem Inkrafttreten dieses Gesetzes tritt das Gesetz über die unentgeltliche Beförderung von Kriegs- und Wehrdienstbeschädigten sowie von anderen Behinderten im Nahverkehr vom 27. August 1965 (BGBl. I S. 978), zuletzt geändert durch Artikel 41 des Zuständigkeitsanpassungsgesetzes vom 18. März 1975 (BGBl. I S. 705), außer Kraft. Ansprüche der Unternehmen daraus bleiben bestehen; hierfür gelten die Verfahrensvorschriften des bisherigen Rechts.</w:t>
      </w:r>
    </w:p>
    <w:p>
      <w:r>
        <w:rPr>
          <w:color w:val="555555"/>
          <w:sz w:val="17"/>
        </w:rPr>
        <w:t xml:space="preserve">Zitiervorschlag: Art 10 UnBefG 1979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https://recht.nulegal.eu/gesetze/UnBefG%201979/10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