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2 UmweltHG — (zu § 19 UmweltHG)</w:t>
      </w:r>
    </w:p>
    <w:p>
      <w:r>
        <w:rPr>
          <w:color w:val="555555"/>
          <w:sz w:val="18"/>
        </w:rPr>
        <w:t xml:space="preserve">Umwelthaftungsgesetz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Anlagen, für die gemäß den §§ 1, 7 der Störfall-Verordnung eine Sicherheitsanalyse anzufertigen ist</w:t>
      </w:r>
    </w:p>
    <w:p>
      <w:pPr>
        <w:ind w:left="420"/>
      </w:pPr>
      <w:r>
        <w:t xml:space="preserve">2. Anlagen zur Rückgewinnung von einzelnen Bestandteilen aus festen Stoffen durch Verbrennen, soweit in ihnen Stoffe nach Anhang II der Störfall-Verordnung im bestimmungsgemäßen Betrieb vorhanden sein oder bei einer Störung des bestimmungsgemäßen Betriebs entstehen können, ausgenommen Anlagen zur Rückgewinnung von Edelmetallen in Gekrätze-Veraschungsöfen, soweit die Menge der Ausgangsstoffe weniger als 200 kg je Tag beträgt</w:t>
      </w:r>
    </w:p>
    <w:p>
      <w:pPr>
        <w:ind w:left="420"/>
      </w:pPr>
      <w:r>
        <w:t xml:space="preserve">3. Anlagen zur Herstellung von Zusatzstoffen zu Lacken oder Druckfarben auf der Basis von Cellulosenitrat, dessen Stickstoffgehalt bis zu 12,6 vom Hundert beträgt.</w:t>
      </w:r>
    </w:p>
    <w:p>
      <w:r>
        <w:rPr>
          <w:color w:val="555555"/>
          <w:sz w:val="17"/>
        </w:rPr>
        <w:t xml:space="preserve">Zitiervorschlag: Anhang 2 UmweltHG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https://recht.nulegal.eu/gesetze/UmweltHG/anhang-2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