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UmweltHG — Auskunftsanspruch des Geschädigten gegen Behörden</w:t>
      </w:r>
    </w:p>
    <w:p>
      <w:r>
        <w:rPr>
          <w:color w:val="555555"/>
          <w:sz w:val="18"/>
        </w:rPr>
        <w:t xml:space="preserve">Umwelthaftungsgesetz</w:t>
      </w:r>
    </w:p>
    <w:p>
      <w:r>
        <w:rPr>
          <w:color w:val="555555"/>
          <w:sz w:val="18"/>
        </w:rPr>
        <w:t xml:space="preserve">Stand: 10.06.2019 (konsolidierte Textfassung, kein amtliches Inkrafttretensdatum)</w:t>
      </w:r>
    </w:p>
    <w:p>
      <w:r>
        <w:t xml:space="preserve">Liegen Tatsachen vor, die die Annahme begründen, daß eine Anlage den Schaden verursacht hat, so kann der Geschädigte von Behörden, die die Anlage genehmigt haben oder überwachen, oder deren Aufgabe es ist, Einwirkungen auf die Umwelt zu erfassen, Auskunft verlangen, soweit dies zur Feststellung, daß ein Anspruch auf Schadensersatz nach diesem Gesetz besteht, erforderlich ist. Die Behörde ist zur Erteilung der Auskunft nicht verpflichtet, soweit durch sie die ordnungsgemäße Erfüllung der Aufgaben der Behörde beeinträchtigt würde, das Bekanntwerden des Inhalts der Auskunft dem Wohle des Bundes oder eines Landes Nachteile bereiten würde oder soweit die Vorgänge nach einem Gesetz oder ihrem Wesen nach, namentlich wegen der berechtigten Interessen der Beteiligten oder dritter Personen, geheimgehalten werden müssen. § 8 Abs. 1 Satz 2 gilt entsprechend für die Behörden, die die Anlage genehmigt haben oder überwachen; von diesen Behörden können auch Angaben über Namen und Anschrift des Inhabers der Anlage, seines gesetzlichen Vertreters oder eines Zustellungsbevollmächtigten verlangt werden.</w:t>
      </w:r>
    </w:p>
    <w:p>
      <w:r>
        <w:rPr>
          <w:color w:val="555555"/>
          <w:sz w:val="17"/>
        </w:rPr>
        <w:t xml:space="preserve">Zitiervorschlag: § 9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