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UmweltHG — Auskunftsanspruch des Geschädigten gegen den Inhaber einer Anlage</w:t>
      </w:r>
    </w:p>
    <w:p>
      <w:r>
        <w:rPr>
          <w:color w:val="555555"/>
          <w:sz w:val="18"/>
        </w:rPr>
        <w:t xml:space="preserve">Umwelthaftungsgesetz</w:t>
      </w:r>
    </w:p>
    <w:p>
      <w:r>
        <w:rPr>
          <w:color w:val="555555"/>
          <w:sz w:val="18"/>
        </w:rPr>
        <w:t xml:space="preserve">Stand: 10.06.2019 (konsolidierte Textfassung, kein amtliches Inkrafttretensdatum)</w:t>
      </w:r>
    </w:p>
    <w:p>
      <w:r>
        <w:t xml:space="preserve">(1) Liegen Tatsachen vor, die die Annahme begründen, daß eine Anlage den Schaden verursacht hat, so kann der Geschädigte vom Inhaber der Anlage Auskunft verlangen, soweit dies zur Feststellung, daß ein Anspruch auf Schadensersatz nach diesem Gesetz besteht, erforderlich ist. Verlangt werden können nur Angaben über die verwendeten Einrichtungen, die Art und Konzentration der eingesetzten oder freigesetzten Stoffe und die sonst von der Anlage ausgehenden Wirkungen sowie die besonderen Betriebspflichten nach § 6 Abs. 3.</w:t>
      </w:r>
    </w:p>
    <w:p>
      <w:r>
        <w:t xml:space="preserve">(2) Der Anspruch nach Absatz 1 besteht insoweit nicht, als die Vorgänge aufgrund gesetzlicher Vorschriften geheimzuhalten sind oder die Geheimhaltung einem überwiegenden Interesse des Inhabers der Anlage oder eines Dritten entspricht.</w:t>
      </w:r>
    </w:p>
    <w:p>
      <w:r>
        <w:t xml:space="preserve">(3) Der Geschädigte kann vom Inhaber der Anlage Gewährung von Einsicht in vorhandene Unterlagen verlangen, soweit die Annahme begründet ist, daß die Auskunft unvollständig, unrichtig oder nicht ausreichend ist, oder wenn die Auskunft nicht in angemessener Frist erteilt wird. Absätze 1 und 2 gelten entsprechend.</w:t>
      </w:r>
    </w:p>
    <w:p>
      <w:r>
        <w:t xml:space="preserve">(4) Die §§ 259 bis 261 des Bürgerlichen Gesetzbuchs finden entsprechende Anwendung.</w:t>
      </w:r>
    </w:p>
    <w:p>
      <w:r>
        <w:rPr>
          <w:color w:val="555555"/>
          <w:sz w:val="17"/>
        </w:rPr>
        <w:t xml:space="preserve">Zitiervorschlag: § 8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