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UmweltHG — Ausschluß der Vermutung</w:t>
      </w:r>
    </w:p>
    <w:p>
      <w:r>
        <w:rPr>
          <w:color w:val="555555"/>
          <w:sz w:val="18"/>
        </w:rPr>
        <w:t xml:space="preserve">Umwelthaftungsgesetz</w:t>
      </w:r>
    </w:p>
    <w:p>
      <w:r>
        <w:rPr>
          <w:color w:val="555555"/>
          <w:sz w:val="18"/>
        </w:rPr>
        <w:t xml:space="preserve">Stand: 10.06.2019 (konsolidierte Textfassung, kein amtliches Inkrafttretensdatum)</w:t>
      </w:r>
    </w:p>
    <w:p>
      <w:r>
        <w:t xml:space="preserve">(1) Sind mehrere Anlagen geeignet, den Schaden zu verursachen, so gilt die Vermutung nicht, wenn ein anderer Umstand nach den Gegebenheiten des Einzelfalles geeignet ist, den Schaden zu verursachen. Die Eignung im Einzelfall beurteilt sich nach Zeit und Ort des Schadenseintritts und nach dem Schadensbild sowie allen sonstigen Gegebenheiten, die im Einzelfall für oder gegen die Schadensverursachung sprechen.</w:t>
      </w:r>
    </w:p>
    <w:p>
      <w:r>
        <w:t xml:space="preserve">(2) Ist nur eine Anlage geeignet, den Schaden zu verursachen, so gilt die Vermutung dann nicht, wenn ein anderer Umstand nach den Gegebenheiten des Einzelfalles geeignet ist, den Schaden zu verursachen.</w:t>
      </w:r>
    </w:p>
    <w:p>
      <w:r>
        <w:rPr>
          <w:color w:val="555555"/>
          <w:sz w:val="17"/>
        </w:rPr>
        <w:t xml:space="preserve">Zitiervorschlag: § 7 UmweltHG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https://recht.nulegal.eu/gesetze/UmweltHG/7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