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UmweltHG — Übergangsvorschriften</w:t>
      </w:r>
    </w:p>
    <w:p>
      <w:r>
        <w:rPr>
          <w:color w:val="555555"/>
          <w:sz w:val="18"/>
        </w:rPr>
        <w:t xml:space="preserve">Umwelthaftungsgesetz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und § 32a der Zivilprozessordnung finden keine Anwendung, soweit der Schaden vor dem Inkrafttreten dieses Gesetzes verursacht worden ist.</w:t>
      </w:r>
    </w:p>
    <w:p>
      <w:r>
        <w:rPr>
          <w:color w:val="555555"/>
          <w:sz w:val="17"/>
        </w:rPr>
        <w:t xml:space="preserve">Zitiervorschlag: § 23 UmweltHG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https://recht.nulegal.eu/gesetze/UmweltHG/23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