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UmweltHG — Strafvorschriften</w:t>
      </w:r>
    </w:p>
    <w:p>
      <w:r>
        <w:rPr>
          <w:color w:val="555555"/>
          <w:sz w:val="18"/>
        </w:rPr>
        <w:t xml:space="preserve">Umwelthaftungsgesetz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einem Jahr oder mit Geldstrafe wird bestraft, wer</w:t>
      </w:r>
    </w:p>
    <w:p>
      <w:pPr>
        <w:ind w:left="420"/>
      </w:pPr>
      <w:r>
        <w:t xml:space="preserve">1. entgegen § 19 Abs. 1 Satz 1, auch in Verbindung mit einer Rechtsverordnung nach § 20 Abs. 1 Nr. 1 oder 2, nicht oder nicht ausreichende Deckungsvorsorge trifft oder</w:t>
      </w:r>
    </w:p>
    <w:p>
      <w:pPr>
        <w:ind w:left="420"/>
      </w:pPr>
      <w:r>
        <w:t xml:space="preserve">2. einer vollziehbaren Anordnung nach § 19 Abs. 1 Satz 2 zuwiderhandelt.</w:t>
      </w:r>
    </w:p>
    <w:p>
      <w:r>
        <w:t xml:space="preserve">(2) Handelt der Täter fahrlässig, so ist die Strafe Freiheitsstrafe bis zu sechs Monaten oder Geldstrafe bis zu einhundertachtzig Tagessätzen.</w:t>
      </w:r>
    </w:p>
    <w:p>
      <w:r>
        <w:rPr>
          <w:color w:val="555555"/>
          <w:sz w:val="17"/>
        </w:rPr>
        <w:t xml:space="preserve">Zitiervorschlag: § 21 UmweltHG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https://recht.nulegal.eu/gesetze/UmweltHG/21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