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UmweltHG — Ermächtigung zum Erlaß von Rechtsverordnungen</w:t>
      </w:r>
    </w:p>
    <w:p>
      <w:r>
        <w:rPr>
          <w:color w:val="555555"/>
          <w:sz w:val="18"/>
        </w:rPr>
        <w:t xml:space="preserve">Umwelthaftungsgesetz</w:t>
      </w:r>
    </w:p>
    <w:p>
      <w:r>
        <w:rPr>
          <w:color w:val="555555"/>
          <w:sz w:val="18"/>
        </w:rPr>
        <w:t xml:space="preserve">Stand: 10.06.2019 (konsolidierte Textfassung, kein amtliches Inkrafttretensdatum)</w:t>
      </w:r>
    </w:p>
    <w:p>
      <w:r>
        <w:t xml:space="preserve">(1) Die Bundesregierung wird durch Rechtsverordnung mit Zustimmung des Bundesrates Vorschriften erlassen über</w:t>
      </w:r>
    </w:p>
    <w:p>
      <w:pPr>
        <w:ind w:left="420"/>
      </w:pPr>
      <w:r>
        <w:t xml:space="preserve">1. den Zeitpunkt, ab dem der Inhaber einer Anlage nach § 19 Deckungsvorsorge zu treffen hat,</w:t>
      </w:r>
    </w:p>
    <w:p>
      <w:pPr>
        <w:ind w:left="420"/>
      </w:pPr>
      <w:r>
        <w:t xml:space="preserve">2. Umfang und Höhe der Deckungsvorsorge,</w:t>
      </w:r>
    </w:p>
    <w:p>
      <w:pPr>
        <w:ind w:left="420"/>
      </w:pPr>
      <w:r>
        <w:t xml:space="preserve">3. die an Freistellungs- und Gewährleistungsverpflichtungen von Kreditinstituten zu stellenden Anforderungen,</w:t>
      </w:r>
    </w:p>
    <w:p>
      <w:pPr>
        <w:ind w:left="420"/>
      </w:pPr>
      <w:r>
        <w:t xml:space="preserve">4. Verfahren und Befugnisse der für die Überwachung der Deckungsvorsorge zuständigen Behörde,</w:t>
      </w:r>
    </w:p>
    <w:p>
      <w:pPr>
        <w:ind w:left="420"/>
      </w:pPr>
      <w:r>
        <w:t xml:space="preserve">5. die zuständige Stelle gemäß § 117 Abs. 2 des Versicherungsvertragsgesetzes sowie über die Erstattung der Anzeige im Sinne des § 117 Abs. 2 des Versicherungsvertragsgesetzes,</w:t>
      </w:r>
    </w:p>
    <w:p>
      <w:pPr>
        <w:ind w:left="420"/>
      </w:pPr>
      <w:r>
        <w:t xml:space="preserve">6. die Pflichten des Inhabers der Anlage, des Versicherungsunternehmens und desjenigen, der eine Freistellungs- oder Gewährleistungsverpflichtung übernommen hat, gegenüber der für die Überwachung der Deckungsvorsorge zuständigen Behörde.</w:t>
      </w:r>
    </w:p>
    <w:p>
      <w:r>
        <w:t xml:space="preserve">(2) Die Rechtsverordnung ist vor Zuleitung an den Bundesrat dem Deutschen Bundestag zuzuleiten. Sie kann durch Beschluß des Bundestages geändert oder abgelehnt werden. Der Beschluß des Bundestages wird der Bundesregierung zugeleitet. Hat sich der Deutsche Bundestag nach Ablauf von drei Sitzungswochen seit Eingang der Rechtsverordnung nicht mit ihr befaßt, so wird die unveränderte Rechtsverordnung der Bundesregierung zugeleitet. Der Deutsche Bundestag befaßt sich mit der Rechtsverordnung auf Antrag von so vielen Mitgliedern des Bundestages, wie zur Bildung einer Fraktion erforderlich sind.</w:t>
      </w:r>
    </w:p>
    <w:p>
      <w:r>
        <w:rPr>
          <w:color w:val="555555"/>
          <w:sz w:val="17"/>
        </w:rPr>
        <w:t xml:space="preserve">Zitiervorschlag: § 20 UmweltHG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https://recht.nulegal.eu/gesetze/UmweltHG/20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