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UmweltHG — Haftung für nichtbetriebene Anlagen</w:t>
      </w:r>
    </w:p>
    <w:p>
      <w:r>
        <w:rPr>
          <w:color w:val="555555"/>
          <w:sz w:val="18"/>
        </w:rPr>
        <w:t xml:space="preserve">Umwelthaftungsgesetz</w:t>
      </w:r>
    </w:p>
    <w:p>
      <w:r>
        <w:rPr>
          <w:color w:val="555555"/>
          <w:sz w:val="18"/>
        </w:rPr>
        <w:t xml:space="preserve">Stand: 10.06.2019 (konsolidierte Textfassung, kein amtliches Inkrafttretensdatum)</w:t>
      </w:r>
    </w:p>
    <w:p>
      <w:r>
        <w:t xml:space="preserve">(1) Geht die Umwelteinwirkung von einer noch nicht fertiggestellten Anlage aus und beruht sie auf Umständen, die die Gefährlichkeit der Anlage nach ihrer Fertigstellung begründen, so haftet der Inhaber der noch nicht fertiggestellten Anlage nach § 1.</w:t>
      </w:r>
    </w:p>
    <w:p>
      <w:r>
        <w:t xml:space="preserve">(2) Geht die Umwelteinwirkung von einer nicht mehr betriebenen Anlage aus und beruht sie auf Umständen, die die Gefährlichkeit der Anlage vor der Einstellung des Betriebs begründet haben, so haftet derjenige nach § 1, der im Zeitpunkt der Einstellung des Betriebs Inhaber der Anlage war.</w:t>
      </w:r>
    </w:p>
    <w:p>
      <w:r>
        <w:rPr>
          <w:color w:val="555555"/>
          <w:sz w:val="17"/>
        </w:rPr>
        <w:t xml:space="preserve">Zitiervorschlag: § 2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