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UmweltHG — Deckungsvorsorge</w:t>
      </w:r>
    </w:p>
    <w:p>
      <w:r>
        <w:rPr>
          <w:color w:val="555555"/>
          <w:sz w:val="18"/>
        </w:rPr>
        <w:t xml:space="preserve">Umwelthaftungsgesetz</w:t>
      </w:r>
    </w:p>
    <w:p>
      <w:r>
        <w:rPr>
          <w:color w:val="555555"/>
          <w:sz w:val="18"/>
        </w:rPr>
        <w:t xml:space="preserve">Stand: 10.06.2019 (konsolidierte Textfassung, kein amtliches Inkrafttretensdatum)</w:t>
      </w:r>
    </w:p>
    <w:p>
      <w:r>
        <w:t xml:space="preserve">(1) Die Inhaber von Anlagen, die in Anhang 2 genannt sind, haben dafür Sorge zu tragen, daß sie ihren gesetzlichen Verpflichtungen zum Ersatz von Schäden nachkommen können, die dadurch entstehen, daß infolge einer von der Anlage ausgehenden Umwelteinwirkung ein Mensch getötet, sein Körper oder seine Gesundheit verletzt oder eine Sache beschädigt wird (Deckungsvorsorge). Geht von einer nicht mehr betriebenen Anlage eine besondere Gefährlichkeit aus, kann die zuständige Behörde anordnen, daß derjenige, der im Zeitpunkt der Einstellung des Betriebs Inhaber der Anlage war, für die Dauer von höchstens zehn Jahren weiterhin entsprechende Deckungsvorsorge zu treffen hat.</w:t>
      </w:r>
    </w:p>
    <w:p>
      <w:r>
        <w:t xml:space="preserve">(2) Die Deckungsvorsorge kann erbracht werden</w:t>
      </w:r>
    </w:p>
    <w:p>
      <w:pPr>
        <w:ind w:left="420"/>
      </w:pPr>
      <w:r>
        <w:t xml:space="preserve">1. durch eine Haftpflichtversicherung bei einem im Geltungsbereich dieses Gesetzes zum Geschäftsbetrieb befugten Versicherungsunternehmen oder</w:t>
      </w:r>
    </w:p>
    <w:p>
      <w:pPr>
        <w:ind w:left="420"/>
      </w:pPr>
      <w:r>
        <w:t xml:space="preserve">2. durch eine Freistellungs- oder Gewährleistungsverpflichtung des Bundes oder eines Landes oder</w:t>
      </w:r>
    </w:p>
    <w:p>
      <w:pPr>
        <w:ind w:left="420"/>
      </w:pPr>
      <w:r>
        <w:t xml:space="preserve">3. durch eine Freistellungs- oder Gewährleistungsverpflichtung eines im Geltungsbereich dieses Gesetzes zum Geschäftsbetrieb befugten Kreditinstituts, wenn gewährleistet ist, daß sie einer Haftpflichtversicherung vergleichbare Sicherheiten bietet.</w:t>
      </w:r>
    </w:p>
    <w:p>
      <w:r>
        <w:t xml:space="preserve">(3) Die in § 2 Abs. 1 Nr. 1 bis 5 des Pflichtversicherungsgesetzes in der Fassung der Bekanntmachung vom 5. April 1965 (BGBl. I S. 213), zuletzt geändert durch Gesetz vom 22. März 1988 (BGBl. I S. 358), Genannten sind von der Pflicht zur Deckungsvorsorge befreit.</w:t>
      </w:r>
    </w:p>
    <w:p>
      <w:r>
        <w:t xml:space="preserve">(4) Die zuständige Behörde kann den Betrieb einer im Anhang 2 genannten Anlage ganz oder teilweise untersagen, wenn der Inhaber seiner Verpflichtung zur Deckungsvorsorge nicht nachkommt und die Deckungsvorsorge nicht binnen einer von der zuständigen Behörde festzusetzenden angemessenen Frist nachweist.</w:t>
      </w:r>
    </w:p>
    <w:p>
      <w:r>
        <w:rPr>
          <w:color w:val="555555"/>
          <w:sz w:val="17"/>
        </w:rPr>
        <w:t xml:space="preserve">Zitiervorschlag: § 19 UmweltHG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https://recht.nulegal.eu/gesetze/UmweltHG/19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