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UmweltHG — Verjährung</w:t>
      </w:r>
    </w:p>
    <w:p>
      <w:r>
        <w:rPr>
          <w:color w:val="555555"/>
          <w:sz w:val="18"/>
        </w:rPr>
        <w:t xml:space="preserve">Umwelthaftungsgesetz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Verjährung finden die für unerlaubte Handlungen geltenden Verjährungsvorschriften des Bürgerlichen Gesetzbuchs entsprechende Anwendung.</w:t>
      </w:r>
    </w:p>
    <w:p>
      <w:r>
        <w:rPr>
          <w:color w:val="555555"/>
          <w:sz w:val="17"/>
        </w:rPr>
        <w:t xml:space="preserve">Zitiervorschlag: § 17 UmweltHG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https://recht.nulegal.eu/gesetze/UmweltHG/17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