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UmweltHG — Aufwendungen bei Wiederherstellungsmaßnahmen</w:t>
      </w:r>
    </w:p>
    <w:p>
      <w:r>
        <w:rPr>
          <w:color w:val="555555"/>
          <w:sz w:val="18"/>
        </w:rPr>
        <w:t xml:space="preserve">Umwelthaftungsgesetz</w:t>
      </w:r>
    </w:p>
    <w:p>
      <w:r>
        <w:rPr>
          <w:color w:val="555555"/>
          <w:sz w:val="18"/>
        </w:rPr>
        <w:t xml:space="preserve">Stand: 10.06.2019 (konsolidierte Textfassung, kein amtliches Inkrafttretensdatum)</w:t>
      </w:r>
    </w:p>
    <w:p>
      <w:r>
        <w:t xml:space="preserve">(1) Stellt die Beschädigung einer Sache auch eine Beeinträchtigung der Natur oder der Landschaft dar, so ist, soweit der Geschädigte den Zustand herstellt, der bestehen würde, wenn die Beeinträchtigung nicht eingetreten wäre, § 251 Abs. 2 des Bürgerlichen Gesetzbuchs mit der Maßgabe anzuwenden, daß Aufwendungen für die Wiederherstellung des vorherigen Zustandes nicht allein deshalb unverhältnismäßig sind, weil sie den Wert der Sache übersteigen.</w:t>
      </w:r>
    </w:p>
    <w:p>
      <w:r>
        <w:t xml:space="preserve">(2) Für die erforderlichen Aufwendungen hat der Schädiger auf Verlangen des Ersatzberechtigten Vorschuß zu leisten.</w:t>
      </w:r>
    </w:p>
    <w:p>
      <w:r>
        <w:rPr>
          <w:color w:val="555555"/>
          <w:sz w:val="17"/>
        </w:rPr>
        <w:t xml:space="preserve">Zitiervorschlag: § 16 UmweltHG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https://recht.nulegal.eu/gesetze/UmweltHG/16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